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ATANZ, Rethinking AAC and AAC Practice - with Erin Sheldon and David Niemeijer in February 2025, A 4-hour workshop suitable for SLPs, OTs, and school AAC coaches. Whānau and clinical students are also welcome.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rtl w:val="0"/>
        </w:rPr>
        <w:t xml:space="preserve">About this event:</w:t>
      </w: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This 4-hour workshop will start with a data-informed review of what we can learn from current AAC (Augmentative and Alternative Communication) use in New Zealand and internationally. Next we will look at the potential of AAC beyond supporting expressive communication. We will show how AAC can be a tool not just for expressive communication, but, equally important, for supporting receptive communication as well as learning and language development. </w:t>
      </w:r>
    </w:p>
    <w:p w:rsidR="00000000" w:rsidDel="00000000" w:rsidP="00000000" w:rsidRDefault="00000000" w:rsidRPr="00000000" w14:paraId="00000005">
      <w:pPr>
        <w:spacing w:after="240" w:before="240" w:lineRule="auto"/>
        <w:rPr/>
      </w:pPr>
      <w:r w:rsidDel="00000000" w:rsidR="00000000" w:rsidRPr="00000000">
        <w:rPr>
          <w:rtl w:val="0"/>
        </w:rPr>
        <w:t xml:space="preserve">We will look at how we can leverage the inherent properties of well-designed AAC systems to more effectively support language development and education. We will explore the importance of dual-coding and motor-learning and look at how AAC can support teachers and students in the classroom. </w:t>
      </w:r>
    </w:p>
    <w:p w:rsidR="00000000" w:rsidDel="00000000" w:rsidP="00000000" w:rsidRDefault="00000000" w:rsidRPr="00000000" w14:paraId="00000006">
      <w:pPr>
        <w:spacing w:after="240" w:before="240" w:lineRule="auto"/>
        <w:rPr/>
      </w:pPr>
      <w:r w:rsidDel="00000000" w:rsidR="00000000" w:rsidRPr="00000000">
        <w:rPr>
          <w:rtl w:val="0"/>
        </w:rPr>
        <w:t xml:space="preserve">We will also reflect on and challenge existing language modelling practices, drawing lessons from early language development and the ways parents speak to very young children. Based on this, we will propose new, updated guidance regarding modelling language and communication. Finally, we will share how the new Proloquo communication app was designed to overcome many of the limitations of existing AAC systems while promoting communication, thinking, learning, and teaching. </w:t>
      </w:r>
    </w:p>
    <w:p w:rsidR="00000000" w:rsidDel="00000000" w:rsidP="00000000" w:rsidRDefault="00000000" w:rsidRPr="00000000" w14:paraId="00000007">
      <w:pPr>
        <w:spacing w:after="240" w:before="240" w:lineRule="auto"/>
        <w:rPr/>
      </w:pPr>
      <w:r w:rsidDel="00000000" w:rsidR="00000000" w:rsidRPr="00000000">
        <w:rPr>
          <w:rtl w:val="0"/>
        </w:rPr>
        <w:t xml:space="preserve">Full disclosure - this presentation is by two representatives from AssistiveWare, which is the company behind Proloquo, Proloquo2Go, Pictello, and other assistive technology options to support communication. However, three-fourth of this workshop is device </w:t>
      </w:r>
      <w:r w:rsidDel="00000000" w:rsidR="00000000" w:rsidRPr="00000000">
        <w:rPr>
          <w:rtl w:val="0"/>
        </w:rPr>
        <w:t xml:space="preserve">agnostic and focused on research and AAC implementation practices rather than on any specific product.</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Flyers design template was created in CANVA ( an online  graphic design tool). On the 1 st page it shows a green sage rectangle  background with the ATANZ Logo name in black large font</w:t>
      </w:r>
      <w:r w:rsidDel="00000000" w:rsidR="00000000" w:rsidRPr="00000000">
        <w:rPr>
          <w:b w:val="1"/>
          <w:rtl w:val="0"/>
        </w:rPr>
        <w:t xml:space="preserve"> ) </w:t>
      </w:r>
      <w:r w:rsidDel="00000000" w:rsidR="00000000" w:rsidRPr="00000000">
        <w:rPr>
          <w:rtl w:val="0"/>
        </w:rPr>
        <w:t xml:space="preserve">and</w:t>
      </w:r>
      <w:r w:rsidDel="00000000" w:rsidR="00000000" w:rsidRPr="00000000">
        <w:rPr>
          <w:b w:val="1"/>
          <w:rtl w:val="0"/>
        </w:rPr>
        <w:t xml:space="preserve"> </w:t>
      </w:r>
      <w:r w:rsidDel="00000000" w:rsidR="00000000" w:rsidRPr="00000000">
        <w:rPr>
          <w:rtl w:val="0"/>
        </w:rPr>
        <w:t xml:space="preserve">the title ‘Rethinking AAC and AAC Practice - February 2025’</w:t>
      </w:r>
      <w:r w:rsidDel="00000000" w:rsidR="00000000" w:rsidRPr="00000000">
        <w:rPr>
          <w:b w:val="1"/>
          <w:rtl w:val="0"/>
        </w:rPr>
        <w:t xml:space="preserve"> </w:t>
      </w:r>
      <w:r w:rsidDel="00000000" w:rsidR="00000000" w:rsidRPr="00000000">
        <w:rPr>
          <w:rtl w:val="0"/>
        </w:rPr>
        <w:t xml:space="preserve">in white font. At the right of the green rectangle there is a decorative swirl in shades of grey.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text part of this visual has a very light green background with all the written text in sage green. With two curved corner framed portrait photos of the presenters Erin and David. Erin has black and slightly grey shoulder length hair and wears dark framed  glasses. She wears a black jacket and a bordeaux coloured loose turtle neck top. In the background it vaguely shows some buildings and a tree. David looks in the camera from a little angle and has short dark hair and a small beard and moustache. He wears a beige front button long sleeve shirt.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light green part of the visual shares the written text as described here above until With the the word WITH in Capitals and the names of the presenters in large and bold Font.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rtl w:val="0"/>
        </w:rPr>
        <w:t xml:space="preserve">The second page has the same design template and shares the written text below: </w:t>
      </w:r>
      <w:r w:rsidDel="00000000" w:rsidR="00000000" w:rsidRPr="00000000">
        <w:rPr>
          <w:rtl w:val="0"/>
        </w:rPr>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About the presenters: </w:t>
      </w:r>
    </w:p>
    <w:p w:rsidR="00000000" w:rsidDel="00000000" w:rsidP="00000000" w:rsidRDefault="00000000" w:rsidRPr="00000000" w14:paraId="00000011">
      <w:pPr>
        <w:spacing w:after="240" w:before="240" w:lineRule="auto"/>
        <w:rPr/>
      </w:pPr>
      <w:r w:rsidDel="00000000" w:rsidR="00000000" w:rsidRPr="00000000">
        <w:rPr>
          <w:b w:val="1"/>
          <w:rtl w:val="0"/>
        </w:rPr>
        <w:t xml:space="preserve">Erin Sheldon</w:t>
      </w:r>
      <w:r w:rsidDel="00000000" w:rsidR="00000000" w:rsidRPr="00000000">
        <w:rPr>
          <w:rtl w:val="0"/>
        </w:rPr>
        <w:t xml:space="preserve"> is Director of Learning Design at AssistiveWare. She earned her graduate degree studying the needs of students with significant disabilities included in regular classrooms. Erin is a specialist in emergent literacy and vocabulary development. She has authored multiple book chapters, articles, and internet modules on AAC implementation and has presented at major international AT conferences around the world. </w:t>
      </w:r>
    </w:p>
    <w:p w:rsidR="00000000" w:rsidDel="00000000" w:rsidP="00000000" w:rsidRDefault="00000000" w:rsidRPr="00000000" w14:paraId="00000012">
      <w:pPr>
        <w:spacing w:after="240" w:before="240" w:lineRule="auto"/>
        <w:rPr/>
      </w:pPr>
      <w:r w:rsidDel="00000000" w:rsidR="00000000" w:rsidRPr="00000000">
        <w:rPr>
          <w:b w:val="1"/>
          <w:rtl w:val="0"/>
        </w:rPr>
        <w:t xml:space="preserve">Dr. David Niemeijer</w:t>
      </w:r>
      <w:r w:rsidDel="00000000" w:rsidR="00000000" w:rsidRPr="00000000">
        <w:rPr>
          <w:rtl w:val="0"/>
        </w:rPr>
        <w:t xml:space="preserve"> is the CEO and founder of AssistiveWare. With over 20 years of experience, David is a pioneer in the field of augmentative and alternative communication (AAC) and assistive technology. He has created software for people with physical, vision and communication challenges, including the award-winning Proloquo2Go and Proloquo software. David has presented at international Assistive Technology and Augmentative and Alternative Communication conferences on five continents. </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Minimum numbers: </w:t>
      </w:r>
    </w:p>
    <w:p w:rsidR="00000000" w:rsidDel="00000000" w:rsidP="00000000" w:rsidRDefault="00000000" w:rsidRPr="00000000" w14:paraId="00000014">
      <w:pPr>
        <w:spacing w:after="240" w:before="240" w:lineRule="auto"/>
        <w:rPr/>
      </w:pPr>
      <w:r w:rsidDel="00000000" w:rsidR="00000000" w:rsidRPr="00000000">
        <w:rPr>
          <w:rtl w:val="0"/>
        </w:rPr>
        <w:t xml:space="preserve">Events require a minimum number of participants to proceed. We'll confirm 2 weeks before the date of each event and offer the option to attend at a different location or full refund of your ticket if we do not have sufficient numbers. Please keep this in mind when booking any travel and accommodations. Who can attend? This workshop is designed for professionals with medium to advanced AAC knowledge. That said, AAC users, family members, and others with strong AAC knowledge are very welcome too. Most of the content is geared towards supporting AAC users who are still developing language (vocabulary, syntax, and grammar), irrespective of their age. </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Costs: </w:t>
      </w:r>
    </w:p>
    <w:p w:rsidR="00000000" w:rsidDel="00000000" w:rsidP="00000000" w:rsidRDefault="00000000" w:rsidRPr="00000000" w14:paraId="00000016">
      <w:pPr>
        <w:numPr>
          <w:ilvl w:val="0"/>
          <w:numId w:val="2"/>
        </w:numPr>
        <w:spacing w:after="0" w:afterAutospacing="0" w:before="240" w:lineRule="auto"/>
        <w:ind w:left="720" w:hanging="360"/>
      </w:pPr>
      <w:r w:rsidDel="00000000" w:rsidR="00000000" w:rsidRPr="00000000">
        <w:rPr>
          <w:rtl w:val="0"/>
        </w:rPr>
        <w:t xml:space="preserve">$120.00 for ATANZ members </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$145.00 for non-members ( membership is $110) </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$50.00 for whānau of an AAC user </w:t>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$50.00 for clinical students (SLT/OT/student teachers)</w:t>
      </w:r>
    </w:p>
    <w:p w:rsidR="00000000" w:rsidDel="00000000" w:rsidP="00000000" w:rsidRDefault="00000000" w:rsidRPr="00000000" w14:paraId="0000001A">
      <w:pPr>
        <w:spacing w:after="240" w:before="240" w:lineRule="auto"/>
        <w:rPr/>
      </w:pPr>
      <w:r w:rsidDel="00000000" w:rsidR="00000000" w:rsidRPr="00000000">
        <w:rPr>
          <w:b w:val="1"/>
          <w:rtl w:val="0"/>
        </w:rPr>
        <w:t xml:space="preserve">Registrations close 17th February 2025 </w:t>
      </w:r>
      <w:r w:rsidDel="00000000" w:rsidR="00000000" w:rsidRPr="00000000">
        <w:rPr>
          <w:rtl w:val="0"/>
        </w:rPr>
        <w:t xml:space="preserve">or when sold out – places are limited! Ensure you choose the correct ticket type to access the discount rate for ATANZ members!</w:t>
      </w:r>
    </w:p>
    <w:p w:rsidR="00000000" w:rsidDel="00000000" w:rsidP="00000000" w:rsidRDefault="00000000" w:rsidRPr="00000000" w14:paraId="0000001B">
      <w:pPr>
        <w:rPr>
          <w:b w:val="1"/>
        </w:rPr>
      </w:pPr>
      <w:r w:rsidDel="00000000" w:rsidR="00000000" w:rsidRPr="00000000">
        <w:rPr>
          <w:rtl w:val="0"/>
        </w:rPr>
        <w:t xml:space="preserve">↓</w:t>
      </w:r>
      <w:r w:rsidDel="00000000" w:rsidR="00000000" w:rsidRPr="00000000">
        <w:rPr>
          <w:b w:val="1"/>
          <w:rtl w:val="0"/>
        </w:rPr>
        <w:t xml:space="preserve"> REGISTER HERE</w:t>
      </w:r>
    </w:p>
    <w:p w:rsidR="00000000" w:rsidDel="00000000" w:rsidP="00000000" w:rsidRDefault="00000000" w:rsidRPr="00000000" w14:paraId="0000001C">
      <w:pPr>
        <w:rPr>
          <w:b w:val="1"/>
        </w:rPr>
      </w:pPr>
      <w:hyperlink r:id="rId7">
        <w:r w:rsidDel="00000000" w:rsidR="00000000" w:rsidRPr="00000000">
          <w:rPr>
            <w:b w:val="1"/>
            <w:color w:val="467886"/>
            <w:u w:val="single"/>
            <w:rtl w:val="0"/>
          </w:rPr>
          <w:t xml:space="preserve">www.atanz.org.nz/events</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At the end right corner of the second page it has a minimalistic little calendar symbol with next the 4 different locations and dates as a bullet point list:</w:t>
      </w:r>
    </w:p>
    <w:p w:rsidR="00000000" w:rsidDel="00000000" w:rsidP="00000000" w:rsidRDefault="00000000" w:rsidRPr="00000000" w14:paraId="0000001F">
      <w:pPr>
        <w:numPr>
          <w:ilvl w:val="0"/>
          <w:numId w:val="1"/>
        </w:numPr>
        <w:ind w:left="720" w:hanging="360"/>
      </w:pPr>
      <w:r w:rsidDel="00000000" w:rsidR="00000000" w:rsidRPr="00000000">
        <w:rPr>
          <w:b w:val="1"/>
          <w:rtl w:val="0"/>
        </w:rPr>
        <w:t xml:space="preserve">Auckland, 24th February</w:t>
      </w:r>
      <w:r w:rsidDel="00000000" w:rsidR="00000000" w:rsidRPr="00000000">
        <w:rPr>
          <w:rtl w:val="0"/>
        </w:rPr>
      </w:r>
    </w:p>
    <w:p w:rsidR="00000000" w:rsidDel="00000000" w:rsidP="00000000" w:rsidRDefault="00000000" w:rsidRPr="00000000" w14:paraId="00000020">
      <w:pPr>
        <w:numPr>
          <w:ilvl w:val="0"/>
          <w:numId w:val="1"/>
        </w:numPr>
        <w:ind w:left="720" w:hanging="360"/>
      </w:pPr>
      <w:r w:rsidDel="00000000" w:rsidR="00000000" w:rsidRPr="00000000">
        <w:rPr>
          <w:b w:val="1"/>
          <w:rtl w:val="0"/>
        </w:rPr>
        <w:t xml:space="preserve">Wellington, 25th February</w:t>
      </w:r>
      <w:r w:rsidDel="00000000" w:rsidR="00000000" w:rsidRPr="00000000">
        <w:rPr>
          <w:rtl w:val="0"/>
        </w:rPr>
      </w:r>
    </w:p>
    <w:p w:rsidR="00000000" w:rsidDel="00000000" w:rsidP="00000000" w:rsidRDefault="00000000" w:rsidRPr="00000000" w14:paraId="00000021">
      <w:pPr>
        <w:numPr>
          <w:ilvl w:val="0"/>
          <w:numId w:val="1"/>
        </w:numPr>
        <w:ind w:left="720" w:hanging="360"/>
      </w:pPr>
      <w:r w:rsidDel="00000000" w:rsidR="00000000" w:rsidRPr="00000000">
        <w:rPr>
          <w:b w:val="1"/>
          <w:rtl w:val="0"/>
        </w:rPr>
        <w:t xml:space="preserve">Christchurch, 26th February</w:t>
      </w:r>
      <w:r w:rsidDel="00000000" w:rsidR="00000000" w:rsidRPr="00000000">
        <w:rPr>
          <w:rtl w:val="0"/>
        </w:rPr>
      </w:r>
    </w:p>
    <w:p w:rsidR="00000000" w:rsidDel="00000000" w:rsidP="00000000" w:rsidRDefault="00000000" w:rsidRPr="00000000" w14:paraId="00000022">
      <w:pPr>
        <w:numPr>
          <w:ilvl w:val="0"/>
          <w:numId w:val="1"/>
        </w:numPr>
        <w:ind w:left="720" w:hanging="360"/>
      </w:pPr>
      <w:r w:rsidDel="00000000" w:rsidR="00000000" w:rsidRPr="00000000">
        <w:rPr>
          <w:b w:val="1"/>
          <w:rtl w:val="0"/>
        </w:rPr>
        <w:t xml:space="preserve">Dunedin,  28th February</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Then just underneath it shows a minimalistic clock symbol followed by the text: </w:t>
      </w:r>
      <w:r w:rsidDel="00000000" w:rsidR="00000000" w:rsidRPr="00000000">
        <w:rPr>
          <w:rtl w:val="0"/>
        </w:rPr>
      </w:r>
    </w:p>
    <w:p w:rsidR="00000000" w:rsidDel="00000000" w:rsidP="00000000" w:rsidRDefault="00000000" w:rsidRPr="00000000" w14:paraId="00000026">
      <w:pPr>
        <w:rPr/>
      </w:pPr>
      <w:bookmarkStart w:colFirst="0" w:colLast="0" w:name="_heading=h.ez44cjbfzfr8" w:id="0"/>
      <w:bookmarkEnd w:id="0"/>
      <w:r w:rsidDel="00000000" w:rsidR="00000000" w:rsidRPr="00000000">
        <w:rPr>
          <w:rtl w:val="0"/>
        </w:rPr>
        <w:t xml:space="preserve">9.30 am – 2.30 pm with 1 hour lunch break. Lunch will be provided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At the very bottom end of the page in the right end corner it shows the text: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For any questions please contact </w:t>
      </w:r>
      <w:hyperlink r:id="rId8">
        <w:r w:rsidDel="00000000" w:rsidR="00000000" w:rsidRPr="00000000">
          <w:rPr>
            <w:color w:val="467886"/>
            <w:u w:val="single"/>
            <w:rtl w:val="0"/>
          </w:rPr>
          <w:t xml:space="preserve">events@atanz.org.nz</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mi-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C564F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C564F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C564F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C564F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C564F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C564F9"/>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C564F9"/>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564F9"/>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564F9"/>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564F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564F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564F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564F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564F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564F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564F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564F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564F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C564F9"/>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C564F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C564F9"/>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C564F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564F9"/>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C564F9"/>
    <w:rPr>
      <w:i w:val="1"/>
      <w:iCs w:val="1"/>
      <w:color w:val="404040" w:themeColor="text1" w:themeTint="0000BF"/>
    </w:rPr>
  </w:style>
  <w:style w:type="paragraph" w:styleId="ListParagraph">
    <w:name w:val="List Paragraph"/>
    <w:basedOn w:val="Normal"/>
    <w:uiPriority w:val="34"/>
    <w:qFormat w:val="1"/>
    <w:rsid w:val="00C564F9"/>
    <w:pPr>
      <w:ind w:left="720"/>
      <w:contextualSpacing w:val="1"/>
    </w:pPr>
  </w:style>
  <w:style w:type="character" w:styleId="IntenseEmphasis">
    <w:name w:val="Intense Emphasis"/>
    <w:basedOn w:val="DefaultParagraphFont"/>
    <w:uiPriority w:val="21"/>
    <w:qFormat w:val="1"/>
    <w:rsid w:val="00C564F9"/>
    <w:rPr>
      <w:i w:val="1"/>
      <w:iCs w:val="1"/>
      <w:color w:val="0f4761" w:themeColor="accent1" w:themeShade="0000BF"/>
    </w:rPr>
  </w:style>
  <w:style w:type="paragraph" w:styleId="IntenseQuote">
    <w:name w:val="Intense Quote"/>
    <w:basedOn w:val="Normal"/>
    <w:next w:val="Normal"/>
    <w:link w:val="IntenseQuoteChar"/>
    <w:uiPriority w:val="30"/>
    <w:qFormat w:val="1"/>
    <w:rsid w:val="00C564F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564F9"/>
    <w:rPr>
      <w:i w:val="1"/>
      <w:iCs w:val="1"/>
      <w:color w:val="0f4761" w:themeColor="accent1" w:themeShade="0000BF"/>
    </w:rPr>
  </w:style>
  <w:style w:type="character" w:styleId="IntenseReference">
    <w:name w:val="Intense Reference"/>
    <w:basedOn w:val="DefaultParagraphFont"/>
    <w:uiPriority w:val="32"/>
    <w:qFormat w:val="1"/>
    <w:rsid w:val="00C564F9"/>
    <w:rPr>
      <w:b w:val="1"/>
      <w:bCs w:val="1"/>
      <w:smallCaps w:val="1"/>
      <w:color w:val="0f4761" w:themeColor="accent1" w:themeShade="0000BF"/>
      <w:spacing w:val="5"/>
    </w:rPr>
  </w:style>
  <w:style w:type="character" w:styleId="Hyperlink">
    <w:name w:val="Hyperlink"/>
    <w:basedOn w:val="DefaultParagraphFont"/>
    <w:uiPriority w:val="99"/>
    <w:unhideWhenUsed w:val="1"/>
    <w:rsid w:val="00C564F9"/>
    <w:rPr>
      <w:color w:val="467886" w:themeColor="hyperlink"/>
      <w:u w:val="single"/>
    </w:rPr>
  </w:style>
  <w:style w:type="character" w:styleId="UnresolvedMention">
    <w:name w:val="Unresolved Mention"/>
    <w:basedOn w:val="DefaultParagraphFont"/>
    <w:uiPriority w:val="99"/>
    <w:semiHidden w:val="1"/>
    <w:unhideWhenUsed w:val="1"/>
    <w:rsid w:val="00C564F9"/>
    <w:rPr>
      <w:color w:val="605e5c"/>
      <w:shd w:color="auto" w:fill="e1dfdd" w:val="clear"/>
    </w:rPr>
  </w:style>
  <w:style w:type="paragraph" w:styleId="Subtitle">
    <w:name w:val="Subtitle"/>
    <w:basedOn w:val="Normal"/>
    <w:next w:val="Normal"/>
    <w:pPr>
      <w:spacing w:after="160" w:lineRule="auto"/>
    </w:pPr>
    <w:rPr>
      <w:color w:val="595959"/>
      <w:sz w:val="28"/>
      <w:szCs w:val="28"/>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tanz.org.nz/events" TargetMode="External"/><Relationship Id="rId8" Type="http://schemas.openxmlformats.org/officeDocument/2006/relationships/hyperlink" Target="mailto:events@atanz.org.n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fk0/OBwKwoomH8OfH4Fsp70CZw==">CgMxLjAyDmguZXo0NGNqYmZ6ZnI4OAByITEzMVF1TGtwVi1vVF95MXdrdE9abTV1NHlXSTlFTGYyeQ==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2024-12-11T04:38:00Z</dcterms:created>
  <dc:creator>Mireille Vreeburg</dc:creator>
</cp:coreProperties>
</file>